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D" w:rsidRPr="00FC751D" w:rsidRDefault="00FC751D" w:rsidP="00F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51D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FC751D" w:rsidRPr="00FC751D" w:rsidRDefault="00FC751D" w:rsidP="00F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51D">
        <w:rPr>
          <w:rFonts w:ascii="Times New Roman" w:eastAsia="Times New Roman" w:hAnsi="Times New Roman" w:cs="Times New Roman"/>
          <w:b/>
          <w:lang w:eastAsia="ru-RU"/>
        </w:rPr>
        <w:t>МЕРОПРИЯТИЙ    ПО   ПРОФИЛАКТИКЕ</w:t>
      </w:r>
      <w:r w:rsidRPr="00FC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751D">
        <w:rPr>
          <w:rFonts w:ascii="Times New Roman" w:eastAsia="Times New Roman" w:hAnsi="Times New Roman" w:cs="Times New Roman"/>
          <w:b/>
          <w:lang w:eastAsia="ru-RU"/>
        </w:rPr>
        <w:t>БЕЗНАДЗОРНОСТИ И ПРАВОНАРУШЕНИЙ СРЕДИ НЕСОВЕРШЕННОЛЕТНИХ</w:t>
      </w:r>
      <w:r w:rsidRPr="00FC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751D" w:rsidRPr="00FC751D" w:rsidRDefault="00FC751D" w:rsidP="00F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  <w:r w:rsidRPr="00FC751D">
        <w:rPr>
          <w:rFonts w:ascii="Times New Roman" w:eastAsia="Times New Roman" w:hAnsi="Times New Roman" w:cs="Times New Roman"/>
          <w:b/>
          <w:sz w:val="20"/>
          <w:lang w:eastAsia="ru-RU"/>
        </w:rPr>
        <w:t>1</w:t>
      </w:r>
      <w:r w:rsidRPr="00FC751D">
        <w:rPr>
          <w:rFonts w:ascii="Times New Roman" w:eastAsia="Times New Roman" w:hAnsi="Times New Roman" w:cs="Times New Roman"/>
          <w:b/>
          <w:lang w:eastAsia="ru-RU"/>
        </w:rPr>
        <w:t>.Организационные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4"/>
        <w:gridCol w:w="3197"/>
        <w:gridCol w:w="420"/>
        <w:gridCol w:w="368"/>
        <w:gridCol w:w="126"/>
        <w:gridCol w:w="1074"/>
        <w:gridCol w:w="462"/>
        <w:gridCol w:w="181"/>
        <w:gridCol w:w="171"/>
        <w:gridCol w:w="689"/>
        <w:gridCol w:w="998"/>
        <w:gridCol w:w="403"/>
        <w:gridCol w:w="1875"/>
        <w:gridCol w:w="971"/>
        <w:gridCol w:w="2261"/>
      </w:tblGrid>
      <w:tr w:rsidR="00FC751D" w:rsidRPr="00FC751D" w:rsidTr="00CA235C">
        <w:trPr>
          <w:trHeight w:val="179"/>
        </w:trPr>
        <w:tc>
          <w:tcPr>
            <w:tcW w:w="1035" w:type="dxa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283" w:type="dxa"/>
            <w:gridSpan w:val="12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875" w:type="dxa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3232" w:type="dxa"/>
            <w:gridSpan w:val="2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FC751D" w:rsidRPr="00FC751D" w:rsidTr="00CA235C">
        <w:tc>
          <w:tcPr>
            <w:tcW w:w="1035" w:type="dxa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283" w:type="dxa"/>
            <w:gridSpan w:val="12"/>
          </w:tcPr>
          <w:p w:rsidR="00FC751D" w:rsidRPr="00FC751D" w:rsidRDefault="00FC751D" w:rsidP="00FC751D">
            <w:pPr>
              <w:numPr>
                <w:ilvl w:val="1"/>
                <w:numId w:val="0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Методические часы по изучению правовой документации с педагогами: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- Обсуждение документации вышестоящих организаций по профилактике семейного неблагополучия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-Федеральный закон от 09.06.1999 г. № 120-ФЗ «Об основах системы профилактики безнадзорности и правонарушений несовершеннолетних»;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- Закон РК от 23.12.2008 г. № 148-РЗ «О некоторых мерах по профилактике безнадзорности и правонарушений несовершеннолетних в Республике Коми»;</w:t>
            </w:r>
          </w:p>
          <w:p w:rsidR="00FC751D" w:rsidRPr="00FC751D" w:rsidRDefault="00FC751D" w:rsidP="00FC751D">
            <w:pPr>
              <w:numPr>
                <w:ilvl w:val="1"/>
                <w:numId w:val="0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-Закон РФ «Об основах системы профилактики безнадзорности и правонарушений несовершеннолетних (с изменениями на 2 апреля 2014 года)»;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Закон «Об образовании в Российской Федерации»</w:t>
            </w: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C751D" w:rsidRPr="00FC751D" w:rsidRDefault="00FC751D" w:rsidP="00FC751D">
            <w:pPr>
              <w:numPr>
                <w:ilvl w:val="1"/>
                <w:numId w:val="0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Семейного Кодекса РФ;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Размещение в родительских уголках выдержек из Закона  РК от 23.12.2008 г. № 148-РЗ «О некоторых мерах по профилактике безнадзорности и правонарушений несовершеннолетних в Республике Коми»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воспитателей по оформлению родительских уголков с информацией о профилактике правонарушений</w:t>
            </w:r>
          </w:p>
        </w:tc>
        <w:tc>
          <w:tcPr>
            <w:tcW w:w="1875" w:type="dxa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32" w:type="dxa"/>
            <w:gridSpan w:val="2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2. Методическая работа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Формы, методы работы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воспитателями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Выявление неблагополучных семей в детском саду, постановка семей на учёт.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Семьи 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«группы риска»,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Опекаемые семьи 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51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Анализ, наблюдение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Банк данных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воспитатели,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Л.Е.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Знакомство с ФЗ, РЗ и нормативно-правовыми документами по вопросам детской безнадзорности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категории воспитателей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Консультация, методические рекомендации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Семинар: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-  «Об  организации работы с детьми и семьями «группы риска»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Совещание при заведующем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- «Об итогах работы педагогов с семьями «группы риска»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категории воспитателей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Совещание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Антипина Г.А.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для педагогов  </w:t>
            </w: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«Эффективные формы работы с семьями  «группы риска»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</w:t>
            </w: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воспитателей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оформлению уголков для родителей. Размещение информации с телефонами доверия.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категории воспитателей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контрольной деятельностью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Тематический контроль: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«Об организации работы с семьями «группы риска»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№ 6, 8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Обзорный контроль: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Наглядная информация в ДОУ: информационные стенды в уголках для родителей 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Заседания ПМПК, СП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Своевременное посещение семей по факту выявленных случаев жестокого обращения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Аналитическая деятельность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Изучение документации:</w:t>
            </w:r>
          </w:p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-банк данных о семьях «группы риска»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Заведующий, </w:t>
            </w:r>
          </w:p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по охране прав детства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-банк данных о семьях, находящихся в социально опасном положении, </w:t>
            </w:r>
            <w:proofErr w:type="gramStart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поставленные</w:t>
            </w:r>
            <w:proofErr w:type="gramEnd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на контроль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-наблюдение за семьями,  </w:t>
            </w:r>
            <w:proofErr w:type="spellStart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снятымы</w:t>
            </w:r>
            <w:proofErr w:type="spellEnd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с контроля; 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- банк данных о несовершеннолетних, находящихся на </w:t>
            </w:r>
            <w:proofErr w:type="spellStart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внутрисадовском</w:t>
            </w:r>
            <w:proofErr w:type="spellEnd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контроле; 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Формы  методы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Сотрудничество с другими учреждениями, специалистами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  «Давайте познакомимся»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Вильдвнова</w:t>
            </w:r>
            <w:proofErr w:type="spellEnd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Вовлечение родителей в акции и проекты «Кормушка своими руками» и др.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родителей: «Формы поощрения и наказания».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Семейная газета «Наш досуг»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Папка-передвижка: «Семейный отдых».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Письменная консультация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Письменная консультация педагога-психолога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Тренинг «Капризы ребенка»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родителями 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Работа семейных клубов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Круглые столы, мастер-классы, деловые игры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Встреча с сотрудниками КПДН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Сотрудники КПДН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Ахмадишина Р.Р.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«Папа, мам и я – спортивная семья»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 Праздник «День семьи»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51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Музыкальный руководитель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Памятка для родителей «О правах  ребенка» 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Буклеты для родителей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Участие семей «группы риска» в конкурсах различного уровня, акциях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в детском саду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Участие в фестивале сказок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Вильданова Л.Р.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4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детьми  (коллективные формы работы с детьми и родителями</w:t>
            </w:r>
            <w:proofErr w:type="gramStart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)</w:t>
            </w:r>
            <w:proofErr w:type="gramEnd"/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Возрастные группы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Сотрудничество с другими учреждениями, специалистами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акции «Посади дерево!» 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Июнь, сентябрь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музыкально-спортивных праздниках, проводимых на улице («Масленица», «День птиц», «День Защиты детей»)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 Л.Е.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праздник с </w:t>
            </w: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родителями и жителями микрорайона «Мы хотим всем рекордам олимпийские дать имена»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группы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</w:p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Шакирова Д.Г.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</w:tr>
      <w:tr w:rsidR="00FC751D" w:rsidRPr="00FC751D" w:rsidTr="00CA235C">
        <w:tblPrEx>
          <w:tblLook w:val="01E0" w:firstRow="1" w:lastRow="1" w:firstColumn="1" w:lastColumn="1" w:noHBand="0" w:noVBand="0"/>
        </w:tblPrEx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Участие в коллективных проектах  «Зеленый огонек», «День птиц», «Мастерская Деда Мороза», «Фестиваль сказок»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Апрель,     март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 xml:space="preserve">Старшие </w:t>
            </w:r>
          </w:p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ЦДБ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D" w:rsidRPr="00FC751D" w:rsidRDefault="00FC751D" w:rsidP="00F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1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</w:tbl>
    <w:p w:rsidR="00B871D6" w:rsidRDefault="00B871D6"/>
    <w:sectPr w:rsidR="00B871D6" w:rsidSect="00FC7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780"/>
    <w:multiLevelType w:val="hybridMultilevel"/>
    <w:tmpl w:val="D6FE65CE"/>
    <w:lvl w:ilvl="0" w:tplc="129E9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EE320">
      <w:numFmt w:val="none"/>
      <w:lvlText w:val=""/>
      <w:lvlJc w:val="left"/>
      <w:pPr>
        <w:tabs>
          <w:tab w:val="num" w:pos="360"/>
        </w:tabs>
      </w:pPr>
    </w:lvl>
    <w:lvl w:ilvl="2" w:tplc="F0E879C6">
      <w:numFmt w:val="none"/>
      <w:lvlText w:val=""/>
      <w:lvlJc w:val="left"/>
      <w:pPr>
        <w:tabs>
          <w:tab w:val="num" w:pos="360"/>
        </w:tabs>
      </w:pPr>
    </w:lvl>
    <w:lvl w:ilvl="3" w:tplc="17927992">
      <w:numFmt w:val="none"/>
      <w:lvlText w:val=""/>
      <w:lvlJc w:val="left"/>
      <w:pPr>
        <w:tabs>
          <w:tab w:val="num" w:pos="360"/>
        </w:tabs>
      </w:pPr>
    </w:lvl>
    <w:lvl w:ilvl="4" w:tplc="58BA618E">
      <w:numFmt w:val="none"/>
      <w:lvlText w:val=""/>
      <w:lvlJc w:val="left"/>
      <w:pPr>
        <w:tabs>
          <w:tab w:val="num" w:pos="360"/>
        </w:tabs>
      </w:pPr>
    </w:lvl>
    <w:lvl w:ilvl="5" w:tplc="E466A2C4">
      <w:numFmt w:val="none"/>
      <w:lvlText w:val=""/>
      <w:lvlJc w:val="left"/>
      <w:pPr>
        <w:tabs>
          <w:tab w:val="num" w:pos="360"/>
        </w:tabs>
      </w:pPr>
    </w:lvl>
    <w:lvl w:ilvl="6" w:tplc="CDE2110A">
      <w:numFmt w:val="none"/>
      <w:lvlText w:val=""/>
      <w:lvlJc w:val="left"/>
      <w:pPr>
        <w:tabs>
          <w:tab w:val="num" w:pos="360"/>
        </w:tabs>
      </w:pPr>
    </w:lvl>
    <w:lvl w:ilvl="7" w:tplc="1C1A831A">
      <w:numFmt w:val="none"/>
      <w:lvlText w:val=""/>
      <w:lvlJc w:val="left"/>
      <w:pPr>
        <w:tabs>
          <w:tab w:val="num" w:pos="360"/>
        </w:tabs>
      </w:pPr>
    </w:lvl>
    <w:lvl w:ilvl="8" w:tplc="024A4E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E5"/>
    <w:rsid w:val="00914CE5"/>
    <w:rsid w:val="00B871D6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2019-10-01T15:30:00Z</dcterms:created>
  <dcterms:modified xsi:type="dcterms:W3CDTF">2019-10-01T15:31:00Z</dcterms:modified>
</cp:coreProperties>
</file>